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B9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附件7</w:t>
      </w:r>
    </w:p>
    <w:p w14:paraId="23C6E5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right="0" w:firstLine="0"/>
        <w:jc w:val="center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404040"/>
          <w:spacing w:val="0"/>
          <w:sz w:val="32"/>
          <w:szCs w:val="32"/>
        </w:rPr>
        <w:t>择优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选取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404040"/>
          <w:spacing w:val="0"/>
          <w:sz w:val="32"/>
          <w:szCs w:val="32"/>
        </w:rPr>
        <w:t>招标代理机构评审表</w:t>
      </w:r>
    </w:p>
    <w:tbl>
      <w:tblPr>
        <w:tblStyle w:val="3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75"/>
        <w:gridCol w:w="1061"/>
        <w:gridCol w:w="5118"/>
        <w:gridCol w:w="675"/>
        <w:gridCol w:w="2610"/>
      </w:tblGrid>
      <w:tr w14:paraId="1D93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1EE6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Calibri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6B11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Calibri" w:eastAsia="宋体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评审维度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DF50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具体评审内容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4D28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AA82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考察方法</w:t>
            </w:r>
          </w:p>
        </w:tc>
      </w:tr>
      <w:tr w14:paraId="59F3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02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EF5F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8982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宋体" w:eastAsia="宋体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专业团队能力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CF13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项目团队人员配置（负责人、成员）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（满分8分）（优：8分，好：6分，中：2分，差：1分）；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团队负责人的经验、职称、执业资格（如招标师）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（满分8分）（优8分，好6分，中4分，差1分）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团队类似项目业绩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（满分7分）（优：7分，好：5分，中：3分，差：1分）；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团队人员的稳定性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（满分7分）（优：7分，好：5分，中：3分，差：1分）。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37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25C0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审查人员简历、社保缴纳证明、过往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项目授权书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0D0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1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3E83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AF41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类似项目业绩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89A2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近3年内完成的与本项目类似的成功案例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（满分10分）（优：10分，好：7分，中：4分，差：0分）；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是否有失败或投诉案例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（满分10分）（没有，得10分；有，得0分）。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73AE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3B8B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同类项目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中标通知书、委托代理合同、招标文件等证明文件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459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E27B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B798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服务方案与理解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36F5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针对本项目编制的</w:t>
            </w: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工作方案是否详尽、有针对性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（满分5分）（优：5分，好：3分，中：2分，差：1分）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对项目难点的分析是否到位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（满分4分）（优：4分，好：2分，中：1分，差：0分）；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流程规划、时间节点是否合理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（满分3分）（优：3分，好：2分，中：1分，差：0分）；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风险预见及应对措施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（满分3分）（优：3分，好：2分，中：1分，差：0分）。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F1C5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DC19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评审提交的书面服务方案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840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FCC4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EE6B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信誉与口碑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A71E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在监管平台有无不良记录、行政处罚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（满分6分）（没有，得6分；有，得0分）；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业主评价如何（可进行背景调查）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（满分2分）（好：2分，中：1分，差：0分）；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行业内的声誉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（满分2分）（好：2分，中：1分，差：0分）。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3499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9706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查询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信用中国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、公共资源交易中心诚信平台，向过往合作单位询证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29A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5314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75E2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收费报价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A989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收费是否符合国家规定（如按差额定率累进法）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（满分4分）（优：4分，好：2分，中：1分，差：0分）；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报价的合理性、完整性（是否包含所有可能费用）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（满分3分）（优：3分，好：2分，中：1分，差：0分）；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是否为固定总价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（满分3分）（优：3分，好：2分，中：1分，差：0分）。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43EC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asci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6688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比较各家报价方案，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警惕恶意低价。</w:t>
            </w:r>
          </w:p>
        </w:tc>
      </w:tr>
      <w:tr w14:paraId="3DA2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83F4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C5B8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center"/>
              <w:rPr>
                <w:rStyle w:val="5"/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40C8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02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60BB">
            <w:pPr>
              <w:keepNext w:val="0"/>
              <w:keepLines w:val="0"/>
              <w:widowControl/>
              <w:suppressLineNumbers w:val="0"/>
              <w:snapToGrid w:val="0"/>
              <w:spacing w:line="26" w:lineRule="atLeast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BCBA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03756"/>
    <w:rsid w:val="20407429"/>
    <w:rsid w:val="3F6902F3"/>
    <w:rsid w:val="62AC7970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1015</Characters>
  <Lines>0</Lines>
  <Paragraphs>0</Paragraphs>
  <TotalTime>11</TotalTime>
  <ScaleCrop>false</ScaleCrop>
  <LinksUpToDate>false</LinksUpToDate>
  <CharactersWithSpaces>1015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2025-08-28T08:23:00Z</dcterms:created>
  <dc:creator>lenovo</dc:creator>
  <cp:lastModifiedBy>陈日清</cp:lastModifiedBy>
  <cp:lastPrinted>2025-12-03T01:49:16Z</cp:lastPrinted>
  <dcterms:modified xsi:type="dcterms:W3CDTF">2025-12-03T02:12:23Z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eyJoZGlkIjoiYzJiZTYzNjlkZTEwZjYzM2ZmMTA3N2FlNTJiNzZlYjAiLCJ1c2VySWQiOiIzODQxODUxNDUifQ==</vt:lpwstr>
  </property>
  <property fmtid="{D5CDD505-2E9C-101B-9397-08002B2CF9AE}" pid="4" name="ICV">
    <vt:lpwstr>4E4A9ADEE2A54658B8C247885CFFE5C2_13</vt:lpwstr>
  </property>
</Properties>
</file>